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LEVANTAMENTO DE MERCADO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TÉCNICO COMPARATIVO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Soluções de Inteligência Artificial para Gestão de Contratações Públicas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(Documento padronizado para utilização por órgãos e entidades da Administração Pública no Levantamento de Mercado – fase do Estudo Técnico Preliminar, nos termos da Lei nº 14.133/2021)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OBJETO DO LEVANTAMENTO DE MERCADO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presente Relatório Técnico Comparativo tem por finalidade subsidiar o </w:t>
      </w:r>
      <w:r w:rsidDel="00000000" w:rsidR="00000000" w:rsidRPr="00000000">
        <w:rPr>
          <w:b w:val="1"/>
          <w:bCs w:val="1"/>
          <w:rtl w:val="0"/>
        </w:rPr>
        <w:t xml:space="preserve">Levantamento de Mercado</w:t>
      </w:r>
      <w:r w:rsidDel="00000000" w:rsidR="00000000" w:rsidRPr="00000000">
        <w:rPr>
          <w:rtl w:val="0"/>
        </w:rPr>
        <w:t xml:space="preserve">, etapa integrante do Estudo Técnico Preliminar (ETP), com vistas à identificação da solução mais adequada para atender às necessidades da Administração quanto ao apoio técnico, jurídico e operacional nos processos de contratações públicas.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análise considera alternativas disponíveis no mercado para suporte à: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Elaboração de Documento de Formalização da Demanda (DFD);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Estudos Técnicos Preliminares (ETP);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Termos de Referência (TR);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Editais;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Mapas de Risco;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Pesquisas de Preços;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Pareceres técnicos e jurídicos;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Gestão e organização do fluxo processual.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DESCRIÇÃO DA NECESSIDADE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Administração Pública enfrenta: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Elevado volume de demandas relacionadas a licitações e contratos;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Complexidade normativa, especialmente em razão da Lei nº 14.133/2021;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Necessidade de padronização documental;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Riscos jurídicos decorrentes de falhas formais ou interpretações inadequadas;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Sobrecarga das equipes técnicas e jurídicas.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Verifica-se a necessidade de solução tecnológica que proporcione: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Maior celeridade e precisão na elaboração documental;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Apoio à tomada de decisão fundamentada;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Redução de erros formaais;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Padronização institucional;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Rastreabilidade e controle das atividades.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ALTERNATIVAS IDENTIFICADAS NO MERCADO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Foram identificadas três alternativas principais: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 Desenvolvimento Interno de Sistema Próprio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Características: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Desenvolvimento sob medida.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Total controle institucional.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Desvantagens: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Alto custo inicial;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Necessidade de equipe técnica especializada;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Longo prazo de implementação;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Manutenção contínua;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Risco de obsolescência tecnológica.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 Utilização de Ferramentas Genéricas de Inteligência Artificial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Características: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Acesso simplificado;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Baixo custo imediato.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Limitações: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Não especializadas em contratações públicas;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Ausência de curadoria normativa específica;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Risco de utilização de normas revogadas ou interpretações inadequadas;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Falta de integração com fluxo procedimental da licitação;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Ausência de parametrização institucional;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Termos de uso e privacidade genéricos.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 Contratação de Solução Especializada em Contratações Públicas - SollAI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Características técnicas esperadas da solução especializada: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Inteligência Artificial treinada com base normativa específica de contratações públicas;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Geração automatizada de documentos conforme a Lei nº 14.133/2021;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Verificação automática de conformidade;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Padronização com modelos institucionais;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Organização do fluxo documental por fases da licitação;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Geração de Mapas de Risco;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Apoio à pesquisa de preços;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Relatórios de auditoria e rastreabilidade;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Acesso via navegador (modelo SaaS);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Controle de permissões e múltiplos logins;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Conformidade com a LGPD;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Protocolos de segurança cibernética documentados;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SLA de suporte técnico.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QUADRO COMPARATIVO TÉCNICO</w:t>
      </w:r>
    </w:p>
    <w:tbl>
      <w:tblPr>
        <w:tblStyle w:val="Table1"/>
        <w:tblW w:w="867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2385"/>
        <w:gridCol w:w="2505"/>
        <w:gridCol w:w="1650"/>
        <w:gridCol w:w="2130"/>
        <w:tblGridChange w:id="0">
          <w:tblGrid>
            <w:gridCol w:w="2385"/>
            <w:gridCol w:w="2505"/>
            <w:gridCol w:w="1650"/>
            <w:gridCol w:w="213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Próprio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 Genérica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SollAI - Solução Especializada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Especialização em Lei nº 14.133/2021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Depende do desenvolvimento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Não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Implementação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Longo prazo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Imediata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Imediata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Risco Jurídico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Médio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Reduzido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Workflow completo da licitação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Depende de desenvolvimento complexo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Não estruturado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Estruturado por fases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Verificação automática de conformidade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Complexa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Não possui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Segurança e rastreabilidade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Limitada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Estruturada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Atualização normativa contínua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Exige equipe interna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Não garantida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</w:tbl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ANÁLISE TÉCNICA DA SOLUÇÃO ESPECIALIZADA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solução especializada apresenta superioridade técnica pelos seguintes fundamentos: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5.1 Base de Treinamento Curada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Utilização de acervo técnico especializado;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Conteúdo estruturado e alinhado à legislação vigente;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Redução de respostas imprecisas ou desconectadas do ordenamento jurídico nacional.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5.2 Workflow Procedimental Estruturado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Abrange o ciclo completo da contratação: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DFD → ETP → TR → Mapa de Risco → Pesquisa de Preços → Edital → Contrato → Gestão contratual.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5.3 Segurança Jurídica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Verificação automática de conformidade;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Apoio na fundamentação técnica;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Redução de inconsistências documentais.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5.4 Segurança da Informação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Arquitetura com criptografia;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Registro de logs;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Controle de permissões;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Armazenamento seguro em nuvem;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Conformidade com a LGPD.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CONCLUSÃO DO LEVANTAMENTO DE MERCADO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Após análise comparativa das alternativas identificadas, conclui-se que: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 desenvolvimento interno apresenta elevado custo e prazo incompatível com a necessidade imediata;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Ferramentas genéricas de IA não atendem aos requisitos técnicos específicos da Administração Pública e apresentam risco jurídico relevante;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 contratação de solução especializada demonstra-se a alternativa tecnicamente mais adequada, eficiente e segura para apoio à gestão de contratações públicas.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Assim, a solução especializada em Inteligência Artificial para contratações públicas revela-se a opção que melhor atende aos princípios da eficiência, segurança jurídica, economicidade e governança administrativa.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final do levantamento de mercado, destaca-se que a SollAi diferencia-se das demais alternativas por reunir, de forma integrada, notória especialização no ecossistema de licitações e contratos, base de treinamento com acervo técnico curado (legislação, jurisprudência e pareceres especializados), workflow estruturado do ciclo completo da contratação (DFD ao contrato), geração automatizada e parametrizada de documentos conforme a Lei nº 14.133/2021, verificação automática de conformidade com identificação de lacunas e inconsistências, geração de Mapas de Risco, análise comparativa e crítica de documentos, integração com modelos institucionais do órgão, organização inteligente do fluxo processual, relatórios de auditoria e rastreabilidade, segurança da informação com criptografia e controle de permissões, conformidade com a LGPD, atualização normativa contínua, modelo SaaS com implementação imediata e suporte técnico especializado, configurando solução tecnológica singular, tecnicamente superior e alinhada às necessidades específicas da Administração Pública.</w:t>
      </w:r>
    </w:p>
    <w:p w:rsidR="00000000" w:rsidDel="00000000" w:rsidP="00000000" w:rsidRDefault="00000000" w:rsidRPr="00000000" w14:paraId="0000008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 singularidade técnica da SollAi é indissociável da </w:t>
      </w:r>
      <w:r w:rsidDel="00000000" w:rsidR="00000000" w:rsidRPr="00000000">
        <w:rPr>
          <w:b w:val="1"/>
          <w:bCs w:val="1"/>
          <w:rtl w:val="0"/>
        </w:rPr>
        <w:t xml:space="preserve">Notória Especialização do Grupo Negócios Públicos</w:t>
      </w:r>
      <w:r w:rsidDel="00000000" w:rsidR="00000000" w:rsidRPr="00000000">
        <w:rPr>
          <w:rtl w:val="0"/>
        </w:rPr>
        <w:t xml:space="preserve">, organização que há mais de duas décadas lidera o setor através de iniciativas como o </w:t>
      </w:r>
      <w:r w:rsidDel="00000000" w:rsidR="00000000" w:rsidRPr="00000000">
        <w:rPr>
          <w:b w:val="1"/>
          <w:bCs w:val="1"/>
          <w:rtl w:val="0"/>
        </w:rPr>
        <w:t xml:space="preserve">Congresso de Pregoeiros, Contratos Week, Pregão Week e o Banco de Preços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Diferente de IAs comerciais, a SollAi não opera sobre dados aleatórios; sua "inteligência" é o resultado do treinamento sobre o acervo do portal </w:t>
      </w:r>
      <w:r w:rsidDel="00000000" w:rsidR="00000000" w:rsidRPr="00000000">
        <w:rPr>
          <w:b w:val="1"/>
          <w:bCs w:val="1"/>
          <w:rtl w:val="0"/>
        </w:rPr>
        <w:t xml:space="preserve">Sollicita</w:t>
      </w:r>
      <w:r w:rsidDel="00000000" w:rsidR="00000000" w:rsidRPr="00000000">
        <w:rPr>
          <w:rtl w:val="0"/>
        </w:rPr>
        <w:t xml:space="preserve">, referência nacional em doutrina e pareceres. Esta base de conhecimento exclusiva garante que a ferramenta funcione como um assistente digital tecnicamente especializado, eliminando as alucinações comuns em ferramentas genéricas e assegurando que a orientação fornecida à SMCL esteja alinhada com as melhores práticas de governança e controle.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